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13DC" w14:textId="431FE7F3" w:rsidR="00FE50BB" w:rsidRPr="00F82E17" w:rsidRDefault="00FE50BB" w:rsidP="00FE50BB">
      <w:pPr>
        <w:spacing w:before="120"/>
        <w:jc w:val="center"/>
        <w:rPr>
          <w:rFonts w:ascii="Arial" w:hAnsi="Arial" w:cs="Arial"/>
          <w:b/>
          <w:color w:val="FF0000"/>
          <w:spacing w:val="20"/>
          <w:sz w:val="28"/>
          <w:szCs w:val="28"/>
        </w:rPr>
      </w:pPr>
      <w:r w:rsidRPr="00F82E17">
        <w:rPr>
          <w:rFonts w:ascii="Arial" w:hAnsi="Arial" w:cs="Arial"/>
          <w:b/>
          <w:color w:val="FF0000"/>
          <w:spacing w:val="20"/>
          <w:sz w:val="28"/>
          <w:szCs w:val="28"/>
        </w:rPr>
        <w:t xml:space="preserve">САМЫЕ ВАЖНЫЕ ИЗМЕНЕНИЯ В РАБОТЕ  </w:t>
      </w:r>
    </w:p>
    <w:p w14:paraId="7406D036" w14:textId="77777777" w:rsidR="00FE50BB" w:rsidRPr="009E4191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224F5284" w:rsidR="00FE50BB" w:rsidRPr="009E4191" w:rsidRDefault="00FE50BB" w:rsidP="00E1425B">
      <w:pPr>
        <w:spacing w:before="120" w:after="240"/>
        <w:jc w:val="center"/>
        <w:rPr>
          <w:rFonts w:ascii="Arial" w:hAnsi="Arial" w:cs="Arial"/>
          <w:color w:val="800080"/>
          <w:sz w:val="28"/>
          <w:szCs w:val="28"/>
        </w:rPr>
      </w:pP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Pr="009E419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FC491D" w:rsidRPr="009E4191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9E4191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9E4191">
        <w:rPr>
          <w:rFonts w:ascii="Arial" w:hAnsi="Arial" w:cs="Arial"/>
          <w:color w:val="800080"/>
          <w:sz w:val="28"/>
          <w:szCs w:val="28"/>
        </w:rPr>
        <w:t>(</w:t>
      </w:r>
      <w:r w:rsidR="00194162" w:rsidRPr="009E4191">
        <w:rPr>
          <w:rFonts w:ascii="Arial" w:hAnsi="Arial" w:cs="Arial"/>
          <w:color w:val="800080"/>
          <w:sz w:val="28"/>
          <w:szCs w:val="28"/>
        </w:rPr>
        <w:t>октябрь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</w:t>
      </w:r>
      <w:r w:rsidR="00F82E17">
        <w:rPr>
          <w:rFonts w:ascii="Arial" w:hAnsi="Arial" w:cs="Arial"/>
          <w:color w:val="800080"/>
          <w:sz w:val="28"/>
          <w:szCs w:val="28"/>
        </w:rPr>
        <w:t>–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</w:t>
      </w:r>
      <w:r w:rsidR="00194162" w:rsidRPr="009E4191">
        <w:rPr>
          <w:rFonts w:ascii="Arial" w:hAnsi="Arial" w:cs="Arial"/>
          <w:color w:val="800080"/>
          <w:sz w:val="28"/>
          <w:szCs w:val="28"/>
        </w:rPr>
        <w:t>декабрь</w:t>
      </w:r>
      <w:r w:rsidR="00CF2ACE" w:rsidRPr="009E4191">
        <w:rPr>
          <w:rFonts w:ascii="Arial" w:hAnsi="Arial" w:cs="Arial"/>
          <w:color w:val="800080"/>
          <w:sz w:val="28"/>
          <w:szCs w:val="28"/>
        </w:rPr>
        <w:t xml:space="preserve"> 2022</w:t>
      </w:r>
      <w:r w:rsidRPr="009E4191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FE50BB" w:rsidRPr="009E4191" w14:paraId="5AE84B00" w14:textId="77777777" w:rsidTr="00F91D04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9E4191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E4191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9E4191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E4191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8F55748" w14:textId="77777777" w:rsidR="00FE50BB" w:rsidRPr="009E4191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E4191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9E4191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E4191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A33824" w:rsidRPr="009E4191" w14:paraId="117D9882" w14:textId="77777777" w:rsidTr="003675C4">
        <w:tc>
          <w:tcPr>
            <w:tcW w:w="10485" w:type="dxa"/>
            <w:gridSpan w:val="3"/>
            <w:shd w:val="clear" w:color="auto" w:fill="FD7A21"/>
          </w:tcPr>
          <w:p w14:paraId="697D9302" w14:textId="77777777" w:rsidR="00A33824" w:rsidRPr="009E4191" w:rsidRDefault="00A33824" w:rsidP="00A338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</w:tr>
      <w:tr w:rsidR="00A33824" w:rsidRPr="009E4191" w14:paraId="5989F690" w14:textId="77777777" w:rsidTr="003675C4">
        <w:trPr>
          <w:trHeight w:val="685"/>
        </w:trPr>
        <w:tc>
          <w:tcPr>
            <w:tcW w:w="2689" w:type="dxa"/>
            <w:shd w:val="clear" w:color="auto" w:fill="auto"/>
          </w:tcPr>
          <w:p w14:paraId="1A507278" w14:textId="7D3A02E8" w:rsidR="00A33824" w:rsidRPr="009E4191" w:rsidRDefault="00A33824" w:rsidP="00F91D04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составления и представления отчетности организаций бюд</w:t>
            </w:r>
            <w:r w:rsidR="00E1425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жетной сферы за 2022 г</w:t>
            </w:r>
            <w:r w:rsidR="006246FA"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1B4424C3" w14:textId="0AE774D0" w:rsidR="00A33824" w:rsidRPr="003F0D5B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 xml:space="preserve">Минфин России разработал </w:t>
            </w:r>
            <w:r w:rsidRPr="003675C4">
              <w:rPr>
                <w:rFonts w:ascii="Arial" w:hAnsi="Arial" w:cs="Arial"/>
                <w:sz w:val="20"/>
                <w:szCs w:val="20"/>
              </w:rPr>
              <w:t>изменения к Инструк</w:t>
            </w:r>
            <w:r w:rsidRPr="003675C4">
              <w:rPr>
                <w:rFonts w:ascii="Arial" w:hAnsi="Arial" w:cs="Arial"/>
                <w:sz w:val="20"/>
                <w:szCs w:val="20"/>
              </w:rPr>
              <w:softHyphen/>
              <w:t>циям 191н и 33н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касающи</w:t>
            </w:r>
            <w:r w:rsidR="003E0175"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ся со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ставления отчетности на 1 января 2023 г.</w:t>
            </w:r>
          </w:p>
          <w:p w14:paraId="2043050A" w14:textId="3F261B3C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 xml:space="preserve">Изменения утверждены </w:t>
            </w:r>
            <w:hyperlink r:id="rId8" w:history="1">
              <w:r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Приказами Мин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фина России от 01.12.2022 N 183н</w:t>
              </w:r>
            </w:hyperlink>
            <w:r w:rsidRPr="009E419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 09.12.2022 N 186н</w:t>
              </w:r>
            </w:hyperlink>
            <w:r w:rsidRPr="009E4191">
              <w:rPr>
                <w:rFonts w:ascii="Arial" w:hAnsi="Arial" w:cs="Arial"/>
                <w:sz w:val="20"/>
                <w:szCs w:val="20"/>
              </w:rPr>
              <w:t>, которые в настоящее время находятся на регистрации в Миню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сте России.</w:t>
            </w:r>
          </w:p>
          <w:p w14:paraId="46250CF3" w14:textId="678C5939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 xml:space="preserve">Однако в </w:t>
            </w:r>
            <w:r w:rsidR="00F82E17">
              <w:rPr>
                <w:rFonts w:ascii="Arial" w:hAnsi="Arial" w:cs="Arial"/>
                <w:sz w:val="20"/>
                <w:szCs w:val="20"/>
              </w:rPr>
              <w:t>п</w:t>
            </w:r>
            <w:r w:rsidRPr="009E4191">
              <w:rPr>
                <w:rFonts w:ascii="Arial" w:hAnsi="Arial" w:cs="Arial"/>
                <w:sz w:val="20"/>
                <w:szCs w:val="20"/>
              </w:rPr>
              <w:t>исьмах</w:t>
            </w:r>
            <w:r w:rsidR="006246FA" w:rsidRPr="009E4191">
              <w:rPr>
                <w:rFonts w:ascii="Arial" w:hAnsi="Arial" w:cs="Arial"/>
                <w:sz w:val="20"/>
                <w:szCs w:val="20"/>
              </w:rPr>
              <w:t xml:space="preserve"> Минфина России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66EA896" w14:textId="0219445E" w:rsidR="00A33824" w:rsidRPr="009E4191" w:rsidRDefault="00FA4AAE" w:rsidP="00F91D0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33824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N 02-06-07/121658, Казначейства Рос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33824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сии N 07-04-05/02-31108 от 12.12.2022</w:t>
              </w:r>
            </w:hyperlink>
            <w:r w:rsidR="00A33824" w:rsidRPr="009E419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E4641F5" w14:textId="62118E09" w:rsidR="00A33824" w:rsidRPr="009E4191" w:rsidRDefault="00FA4AAE" w:rsidP="00F91D0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1" w:history="1">
              <w:r w:rsidR="00A3382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N 02-06-07/121653, Казначейства Рос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382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сии N 07-04-05/02-31103 от 12.12.2022</w:t>
              </w:r>
            </w:hyperlink>
          </w:p>
          <w:p w14:paraId="08D7331A" w14:textId="6A4C8F7E" w:rsidR="00A33824" w:rsidRPr="009E4191" w:rsidRDefault="00A33824" w:rsidP="00F91D0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указано на обязательность составления отчетности за 2022 г</w:t>
            </w:r>
            <w:r w:rsidR="006246FA" w:rsidRPr="009E4191">
              <w:rPr>
                <w:rFonts w:ascii="Arial" w:hAnsi="Arial" w:cs="Arial"/>
                <w:sz w:val="20"/>
                <w:szCs w:val="20"/>
              </w:rPr>
              <w:t>.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с учетом данных из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менений.</w:t>
            </w:r>
          </w:p>
          <w:p w14:paraId="46E3C135" w14:textId="71AC7A1F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Например, в текстовой части разд. 4 пояс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нительной записки (ф. 0503160, ф. 0503760) дополнительно нужно раскрыть сведения о показателях по сегментам. </w:t>
            </w:r>
          </w:p>
          <w:p w14:paraId="5357E62D" w14:textId="3E7A0FE5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Это связано с требованиями </w:t>
            </w:r>
            <w:hyperlink r:id="rId12" w:history="1"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СГС 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Сведе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ния о показателях бухгалтерской (финан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совой) отчетности по сегментам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который нужно применять с отчетности за 2022 г</w:t>
            </w:r>
            <w:r w:rsidR="00A01E82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Суммы оборотов между субъектами консо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лидированной отчетности, входящими в один сегмент, подлежат исключению при формировании показателей по данному сегменту.</w:t>
            </w:r>
          </w:p>
          <w:p w14:paraId="4B03950C" w14:textId="61671DEB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отчете о движении денежных средств (ф. 0503123, ф. 0503723) выбытия по статье 360 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Увеличение стоимости биологиче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ских активов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КОСГУ надо будет привести по строке, предусмотренной для отраже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показателей по коду 310 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Увеличение стоимости основных средств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КОСГУ.</w:t>
            </w:r>
          </w:p>
          <w:p w14:paraId="50045668" w14:textId="171F902B" w:rsidR="00A33824" w:rsidRPr="009E4191" w:rsidRDefault="00A33824" w:rsidP="001215E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Изменяется порядок формирования све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дений о вложениях в недвижимость (ф. 0503190, ф. 0503790). Например, скоррек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тирован перечень кодов статуса объекта</w:t>
            </w:r>
            <w:r w:rsidR="00A01E82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А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группу граф 13 - 15 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Плановые сроки ре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ализации инвестиционного проекта</w:t>
            </w:r>
            <w:r w:rsidR="00F65147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полнять не потребуется</w:t>
            </w:r>
          </w:p>
        </w:tc>
        <w:tc>
          <w:tcPr>
            <w:tcW w:w="3573" w:type="dxa"/>
            <w:shd w:val="clear" w:color="auto" w:fill="auto"/>
          </w:tcPr>
          <w:p w14:paraId="5173C4D9" w14:textId="1D6D23EF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3" w:history="1"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Бюджетная и бухгалтерская отчет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ность учреждений: что учесть начи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ная с форм за 2022 год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</w:p>
          <w:p w14:paraId="61539657" w14:textId="78E685F6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E1A6A" w14:textId="77777777" w:rsidR="00C64674" w:rsidRPr="009E4191" w:rsidRDefault="00C6467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4F089" w14:textId="77777777" w:rsidR="00A33824" w:rsidRPr="009E4191" w:rsidRDefault="00A3382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B7BD1" w14:textId="346CE90A" w:rsidR="00C64674" w:rsidRPr="009E4191" w:rsidRDefault="00C64674" w:rsidP="00F91D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62" w:rsidRPr="009E4191" w14:paraId="4223768A" w14:textId="77777777" w:rsidTr="003675C4">
        <w:trPr>
          <w:trHeight w:val="558"/>
        </w:trPr>
        <w:tc>
          <w:tcPr>
            <w:tcW w:w="10485" w:type="dxa"/>
            <w:gridSpan w:val="3"/>
            <w:shd w:val="clear" w:color="auto" w:fill="FD7A21"/>
            <w:vAlign w:val="center"/>
          </w:tcPr>
          <w:p w14:paraId="3BA19D7C" w14:textId="38D70228" w:rsidR="00194162" w:rsidRPr="009E4191" w:rsidRDefault="00871DD3" w:rsidP="001941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Уплата</w:t>
            </w:r>
            <w:r w:rsidRPr="009E41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налогов</w:t>
            </w:r>
          </w:p>
        </w:tc>
      </w:tr>
      <w:tr w:rsidR="00194162" w:rsidRPr="009E4191" w14:paraId="47A7127E" w14:textId="77777777" w:rsidTr="003675C4">
        <w:trPr>
          <w:trHeight w:val="669"/>
        </w:trPr>
        <w:tc>
          <w:tcPr>
            <w:tcW w:w="2689" w:type="dxa"/>
            <w:shd w:val="clear" w:color="auto" w:fill="auto"/>
          </w:tcPr>
          <w:p w14:paraId="7EB1D9E7" w14:textId="37BCF5EE" w:rsidR="00194162" w:rsidRPr="009E4191" w:rsidRDefault="007C2B56" w:rsidP="007C2B5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223" w:type="dxa"/>
            <w:shd w:val="clear" w:color="auto" w:fill="auto"/>
          </w:tcPr>
          <w:p w14:paraId="61673740" w14:textId="085C5D89" w:rsidR="007C2B56" w:rsidRPr="009E4191" w:rsidRDefault="007C2B56" w:rsidP="007C2B5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С 2023 г</w:t>
            </w:r>
            <w:r w:rsidR="00101673" w:rsidRPr="009E4191">
              <w:rPr>
                <w:rFonts w:ascii="Arial" w:hAnsi="Arial" w:cs="Arial"/>
                <w:sz w:val="20"/>
                <w:szCs w:val="20"/>
              </w:rPr>
              <w:t>.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исполнение обязанности по уплате практически всех налоговых плате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жей</w:t>
            </w:r>
            <w:r w:rsidR="0093262C" w:rsidRPr="009E4191">
              <w:rPr>
                <w:rFonts w:ascii="Arial" w:hAnsi="Arial" w:cs="Arial"/>
                <w:sz w:val="20"/>
                <w:szCs w:val="20"/>
              </w:rPr>
              <w:t xml:space="preserve"> необходимо осуществлять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через</w:t>
            </w:r>
            <w:r w:rsidR="00871DD3" w:rsidRPr="009E4191">
              <w:rPr>
                <w:rFonts w:ascii="Arial" w:hAnsi="Arial" w:cs="Arial"/>
                <w:sz w:val="20"/>
                <w:szCs w:val="20"/>
              </w:rPr>
              <w:t xml:space="preserve"> уплату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ЕНП. Весь учет по расчетам </w:t>
            </w:r>
            <w:r w:rsidR="001C2629" w:rsidRPr="009E4191">
              <w:rPr>
                <w:rFonts w:ascii="Arial" w:hAnsi="Arial" w:cs="Arial"/>
                <w:sz w:val="20"/>
                <w:szCs w:val="20"/>
              </w:rPr>
              <w:t>дол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="001C2629" w:rsidRPr="009E4191">
              <w:rPr>
                <w:rFonts w:ascii="Arial" w:hAnsi="Arial" w:cs="Arial"/>
                <w:sz w:val="20"/>
                <w:szCs w:val="20"/>
              </w:rPr>
              <w:t>жен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вестись на едином налоговом счете по каждой организации и физлицу. На нем бу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дет отражаться совокупная обязанность по уплате и формироваться сальдо расчетов.</w:t>
            </w:r>
          </w:p>
          <w:p w14:paraId="308AE47B" w14:textId="5C88E8AD" w:rsidR="00194162" w:rsidRPr="008B62E9" w:rsidRDefault="007C2B56" w:rsidP="007C2B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2E9">
              <w:rPr>
                <w:rFonts w:ascii="Arial" w:hAnsi="Arial" w:cs="Arial"/>
                <w:sz w:val="20"/>
                <w:szCs w:val="20"/>
              </w:rPr>
              <w:t xml:space="preserve">В связи с переходом на ЕНП срок уплаты по общему правилу </w:t>
            </w:r>
            <w:r w:rsidR="00FA2E7D" w:rsidRPr="008B62E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8B62E9">
              <w:rPr>
                <w:rFonts w:ascii="Arial" w:hAnsi="Arial" w:cs="Arial"/>
                <w:sz w:val="20"/>
                <w:szCs w:val="20"/>
              </w:rPr>
              <w:t>28 число соответ</w:t>
            </w:r>
            <w:r w:rsidR="00E1425B" w:rsidRPr="008B62E9">
              <w:rPr>
                <w:rFonts w:ascii="Arial" w:hAnsi="Arial" w:cs="Arial"/>
                <w:sz w:val="20"/>
                <w:szCs w:val="20"/>
              </w:rPr>
              <w:softHyphen/>
            </w:r>
            <w:r w:rsidRPr="008B62E9">
              <w:rPr>
                <w:rFonts w:ascii="Arial" w:hAnsi="Arial" w:cs="Arial"/>
                <w:sz w:val="20"/>
                <w:szCs w:val="20"/>
              </w:rPr>
              <w:t>ствующего месяца, сдачи отчетности –</w:t>
            </w:r>
            <w:r w:rsidR="00983298" w:rsidRPr="008B62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2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B62E9">
              <w:rPr>
                <w:rFonts w:ascii="Arial" w:hAnsi="Arial" w:cs="Arial"/>
                <w:sz w:val="20"/>
                <w:szCs w:val="20"/>
              </w:rPr>
              <w:t>25</w:t>
            </w:r>
            <w:r w:rsidR="008B62E9" w:rsidRPr="008B62E9">
              <w:rPr>
                <w:rFonts w:ascii="Arial" w:hAnsi="Arial" w:cs="Arial"/>
                <w:sz w:val="20"/>
                <w:szCs w:val="20"/>
              </w:rPr>
              <w:t xml:space="preserve"> число</w:t>
            </w:r>
          </w:p>
          <w:p w14:paraId="08017645" w14:textId="33E38768" w:rsidR="00CC2CBF" w:rsidRPr="009E4191" w:rsidRDefault="00CC2CBF" w:rsidP="007C2B56">
            <w:pPr>
              <w:spacing w:before="120" w:after="120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D56AB19" w14:textId="6B0BA760" w:rsidR="00194162" w:rsidRPr="009E4191" w:rsidRDefault="005A42AA" w:rsidP="005A42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B63EECD" w14:textId="02B2524A" w:rsidR="005A42AA" w:rsidRPr="003675C4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Style w:val="a3"/>
                <w:rFonts w:eastAsiaTheme="minorHAnsi"/>
                <w:u w:val="none"/>
                <w:lang w:eastAsia="en-US"/>
              </w:rPr>
            </w:pPr>
            <w:hyperlink r:id="rId14" w:history="1">
              <w:r w:rsidR="001B19E0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</w:t>
              </w:r>
              <w:r w:rsidR="009E4191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r w:rsidR="001B19E0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решени</w:t>
              </w:r>
              <w:r w:rsidR="009E4191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r w:rsidR="001B19E0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: Совокупная обязанность организаций (ИП), единый налоговый платеж и еди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1B19E0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ный налоговый счет с 1 января 2023 г</w:t>
              </w:r>
            </w:hyperlink>
            <w:r w:rsidR="009C145A" w:rsidRPr="003675C4">
              <w:rPr>
                <w:rStyle w:val="a3"/>
                <w:rFonts w:eastAsiaTheme="minorHAnsi"/>
                <w:u w:val="none"/>
                <w:lang w:eastAsia="en-US"/>
              </w:rPr>
              <w:t>;</w:t>
            </w:r>
          </w:p>
          <w:p w14:paraId="6FCFEC48" w14:textId="62696117" w:rsidR="009C145A" w:rsidRPr="009E4191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E419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E419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организа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 платят налоги и страховые взносы с 1 января 2023 г.</w:t>
              </w:r>
            </w:hyperlink>
            <w:r w:rsidR="009C145A" w:rsidRPr="009E419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F48787" w14:textId="1FA70ACA" w:rsidR="009C145A" w:rsidRPr="009E4191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9E419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9E419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proofErr w:type="gramStart"/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</w:t>
              </w:r>
              <w:proofErr w:type="gramEnd"/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с 1 января 2023 г. заполнить уведомление об исчисленных суммах налогов, авансовых платежей по налогам, сборов, страховых взносов, упла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чиваемых (перечисляемых) в ка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B19E0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честве ЕНП (форма по КНД 1110355)</w:t>
              </w:r>
            </w:hyperlink>
            <w:r w:rsidR="001140EA" w:rsidRPr="009E41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04B645" w14:textId="4776F30F" w:rsidR="001140EA" w:rsidRPr="009E4191" w:rsidRDefault="001140EA" w:rsidP="00CA662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 xml:space="preserve">Правильно оформить </w:t>
            </w:r>
            <w:r w:rsidR="00960BCD" w:rsidRPr="009E4191">
              <w:rPr>
                <w:rFonts w:ascii="Arial" w:hAnsi="Arial" w:cs="Arial"/>
                <w:sz w:val="20"/>
                <w:szCs w:val="20"/>
              </w:rPr>
              <w:t xml:space="preserve">и учесть 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налоговые платежи помогут: </w:t>
            </w:r>
          </w:p>
          <w:p w14:paraId="257901E5" w14:textId="5921BEC5" w:rsidR="009C145A" w:rsidRPr="009E4191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D49F2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D49F2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заявки на кассовый расход на перечисление единого налого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CD49F2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вого платежа</w:t>
              </w:r>
            </w:hyperlink>
            <w:r w:rsidR="00CD49F2" w:rsidRPr="009E419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2B731D" w14:textId="478B0F39" w:rsidR="00CD49F2" w:rsidRPr="009E4191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75F7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75F7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платежного поручения на уплату единого налогового пла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75F71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тежа</w:t>
              </w:r>
            </w:hyperlink>
            <w:r w:rsidR="00D75F71" w:rsidRPr="009E419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22F894" w14:textId="3CBBA873" w:rsidR="00D75F71" w:rsidRPr="009E4191" w:rsidRDefault="00FA4AAE" w:rsidP="00CA662B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120"/>
              <w:ind w:left="198" w:hanging="19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140EA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Образец заполнения учрежде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140EA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нием с 1 января 2023 г. уведомле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140EA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ния об исчисленных суммах нало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140EA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гов, авансовых платежей по нало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140EA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гам, сборов, страховых взносов (форма по КНД 1110355)</w:t>
              </w:r>
            </w:hyperlink>
            <w:r w:rsidR="001140EA" w:rsidRPr="009E41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92D050"/>
        <w:tblLayout w:type="fixed"/>
        <w:tblLook w:val="01E0" w:firstRow="1" w:lastRow="1" w:firstColumn="1" w:lastColumn="1" w:noHBand="0" w:noVBand="0"/>
      </w:tblPr>
      <w:tblGrid>
        <w:gridCol w:w="10485"/>
      </w:tblGrid>
      <w:tr w:rsidR="00C64674" w:rsidRPr="009E4191" w14:paraId="7CF91419" w14:textId="77777777" w:rsidTr="003675C4">
        <w:tc>
          <w:tcPr>
            <w:tcW w:w="10485" w:type="dxa"/>
            <w:shd w:val="clear" w:color="auto" w:fill="FD7A21"/>
          </w:tcPr>
          <w:p w14:paraId="60D24049" w14:textId="07CD4425" w:rsidR="00C64674" w:rsidRPr="009E4191" w:rsidRDefault="00C64674" w:rsidP="003E017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Обязательное </w:t>
            </w:r>
            <w:r w:rsidR="003E0175"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социальное </w:t>
            </w: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страхование</w:t>
            </w:r>
          </w:p>
        </w:tc>
      </w:tr>
    </w:tbl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C64674" w:rsidRPr="009E4191" w14:paraId="4711FA77" w14:textId="77777777" w:rsidTr="003675C4">
        <w:trPr>
          <w:trHeight w:val="669"/>
        </w:trPr>
        <w:tc>
          <w:tcPr>
            <w:tcW w:w="2689" w:type="dxa"/>
            <w:shd w:val="clear" w:color="auto" w:fill="auto"/>
          </w:tcPr>
          <w:p w14:paraId="12D84247" w14:textId="707BB62A" w:rsidR="00C64674" w:rsidRPr="009E4191" w:rsidRDefault="00C64674" w:rsidP="00CA662B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Объединение ПФР и ФСС</w:t>
            </w:r>
          </w:p>
        </w:tc>
        <w:tc>
          <w:tcPr>
            <w:tcW w:w="4223" w:type="dxa"/>
            <w:shd w:val="clear" w:color="auto" w:fill="auto"/>
          </w:tcPr>
          <w:p w14:paraId="0D7346B5" w14:textId="3C430C3E" w:rsidR="00C64674" w:rsidRPr="009E4191" w:rsidRDefault="00C64674" w:rsidP="00CA66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C4">
              <w:rPr>
                <w:rFonts w:ascii="Arial" w:hAnsi="Arial" w:cs="Arial"/>
                <w:b/>
                <w:sz w:val="20"/>
                <w:szCs w:val="20"/>
              </w:rPr>
              <w:t>С 2023 г</w:t>
            </w:r>
            <w:r w:rsidR="009E4191" w:rsidRPr="003675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191">
              <w:rPr>
                <w:rFonts w:ascii="Arial" w:hAnsi="Arial" w:cs="Arial"/>
                <w:sz w:val="20"/>
                <w:szCs w:val="20"/>
              </w:rPr>
              <w:t xml:space="preserve">ПФР и ФСС </w:t>
            </w:r>
            <w:r w:rsidRPr="009E4191">
              <w:rPr>
                <w:rFonts w:ascii="Arial" w:hAnsi="Arial" w:cs="Arial"/>
                <w:sz w:val="20"/>
                <w:szCs w:val="20"/>
              </w:rPr>
              <w:t>замени</w:t>
            </w:r>
            <w:r w:rsidR="003E0175" w:rsidRPr="009E4191">
              <w:rPr>
                <w:rFonts w:ascii="Arial" w:hAnsi="Arial" w:cs="Arial"/>
                <w:sz w:val="20"/>
                <w:szCs w:val="20"/>
              </w:rPr>
              <w:t>л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Фонд пенси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онного и социального страхования. Этим обусловлен ряд изменений в законода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тельстве о страховых взносах и персони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фицированном учете. Они затронули пре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дельную величину базы для исчисления взносов, перечень необлагаемых выплат, тарифы взносов и отчетность</w:t>
            </w:r>
          </w:p>
        </w:tc>
        <w:tc>
          <w:tcPr>
            <w:tcW w:w="3573" w:type="dxa"/>
            <w:shd w:val="clear" w:color="auto" w:fill="auto"/>
          </w:tcPr>
          <w:p w14:paraId="1A6C47FA" w14:textId="61E2AD6D" w:rsidR="00C64674" w:rsidRPr="009E4191" w:rsidRDefault="009E4191" w:rsidP="00CA66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 xml:space="preserve">Подробности в </w:t>
            </w:r>
            <w:hyperlink r:id="rId20" w:history="1">
              <w:r w:rsidR="00096D2F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096D2F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F65147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096D2F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Объедине</w:t>
              </w:r>
              <w:r w:rsidR="00E1425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96D2F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ПФР и ФСС в 2023 году</w:t>
              </w:r>
              <w:r w:rsidR="00F65147" w:rsidRPr="003675C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C64674" w:rsidRPr="009E4191" w14:paraId="22B9BF3C" w14:textId="77777777" w:rsidTr="003675C4">
        <w:tc>
          <w:tcPr>
            <w:tcW w:w="10485" w:type="dxa"/>
            <w:gridSpan w:val="3"/>
            <w:shd w:val="clear" w:color="auto" w:fill="FD7A21"/>
          </w:tcPr>
          <w:p w14:paraId="02917ECA" w14:textId="79AED5B0" w:rsidR="00C64674" w:rsidRPr="009E4191" w:rsidRDefault="00C64674" w:rsidP="00C6467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</w:t>
            </w:r>
          </w:p>
        </w:tc>
      </w:tr>
      <w:tr w:rsidR="00C64674" w:rsidRPr="009E4191" w14:paraId="144B1BEE" w14:textId="77777777" w:rsidTr="003675C4">
        <w:trPr>
          <w:trHeight w:val="557"/>
        </w:trPr>
        <w:tc>
          <w:tcPr>
            <w:tcW w:w="2689" w:type="dxa"/>
            <w:shd w:val="clear" w:color="auto" w:fill="auto"/>
          </w:tcPr>
          <w:p w14:paraId="4AEA2EF3" w14:textId="3471C96F" w:rsidR="00C64674" w:rsidRPr="009E4191" w:rsidRDefault="00C64674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Электронные первичные учетные документы и регистры учета</w:t>
            </w:r>
          </w:p>
        </w:tc>
        <w:tc>
          <w:tcPr>
            <w:tcW w:w="4223" w:type="dxa"/>
            <w:shd w:val="clear" w:color="auto" w:fill="auto"/>
          </w:tcPr>
          <w:p w14:paraId="5A2068A6" w14:textId="219A32E4" w:rsidR="00C64674" w:rsidRPr="00C60DC0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Минфин России дополнил перечень элек</w:t>
            </w:r>
            <w:r w:rsidR="00E1425B" w:rsidRPr="00C60DC0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тронных первичных учетных документов и регистров и утвердил порядок их примене</w:t>
            </w:r>
            <w:r w:rsidR="00E1425B" w:rsidRPr="00C60DC0">
              <w:rPr>
                <w:rFonts w:ascii="Arial" w:hAnsi="Arial" w:cs="Arial"/>
                <w:spacing w:val="-8"/>
                <w:sz w:val="20"/>
                <w:szCs w:val="20"/>
              </w:rPr>
              <w:softHyphen/>
            </w:r>
            <w:r w:rsidRPr="00C60DC0">
              <w:rPr>
                <w:rFonts w:ascii="Arial" w:hAnsi="Arial" w:cs="Arial"/>
                <w:spacing w:val="-8"/>
                <w:sz w:val="20"/>
                <w:szCs w:val="20"/>
              </w:rPr>
              <w:t>ния.</w:t>
            </w:r>
          </w:p>
          <w:p w14:paraId="285B825F" w14:textId="62927A9E" w:rsidR="00C64674" w:rsidRPr="003F0D5B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>Добавлены 6 новых форм первичных доку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ментов, среди них: </w:t>
            </w:r>
          </w:p>
          <w:p w14:paraId="0673A1EA" w14:textId="18D90627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0510454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акт о списании объектов нефинансовых активов (кроме транс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портных средств);</w:t>
            </w:r>
          </w:p>
          <w:p w14:paraId="1E5F5F5C" w14:textId="2A600226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lastRenderedPageBreak/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0510458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накладная на отпуск ма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териальных ценностей на сторону;</w:t>
            </w:r>
          </w:p>
          <w:p w14:paraId="520A774A" w14:textId="50D88FF7" w:rsidR="00C64674" w:rsidRPr="003F0D5B" w:rsidRDefault="00C64674" w:rsidP="00C60DC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 xml:space="preserve">ф. </w:t>
            </w:r>
            <w:r w:rsidRPr="003675C4">
              <w:rPr>
                <w:rFonts w:ascii="Arial" w:hAnsi="Arial" w:cs="Arial"/>
                <w:sz w:val="20"/>
                <w:szCs w:val="20"/>
              </w:rPr>
              <w:t>0510460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D5B" w:rsidRPr="003675C4">
              <w:rPr>
                <w:rFonts w:ascii="Arial" w:hAnsi="Arial" w:cs="Arial"/>
                <w:sz w:val="20"/>
                <w:szCs w:val="20"/>
              </w:rPr>
              <w:t>–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5B">
              <w:rPr>
                <w:rFonts w:ascii="Arial" w:hAnsi="Arial" w:cs="Arial"/>
                <w:sz w:val="20"/>
                <w:szCs w:val="20"/>
              </w:rPr>
              <w:t>акт о списании матери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альных запасов и др.</w:t>
            </w:r>
          </w:p>
          <w:p w14:paraId="0F4E2AA2" w14:textId="18BF5CEA" w:rsidR="00C64674" w:rsidRPr="003F0D5B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D5B">
              <w:rPr>
                <w:rFonts w:ascii="Arial" w:hAnsi="Arial" w:cs="Arial"/>
                <w:sz w:val="20"/>
                <w:szCs w:val="20"/>
              </w:rPr>
              <w:t>Перечень электронных регистров допол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нили </w:t>
            </w:r>
            <w:r w:rsidR="003F0D5B" w:rsidRPr="003F0D5B">
              <w:rPr>
                <w:rFonts w:ascii="Arial" w:hAnsi="Arial" w:cs="Arial"/>
                <w:sz w:val="20"/>
                <w:szCs w:val="20"/>
              </w:rPr>
              <w:t>двумя</w:t>
            </w:r>
            <w:r w:rsidRPr="003F0D5B">
              <w:rPr>
                <w:rFonts w:ascii="Arial" w:hAnsi="Arial" w:cs="Arial"/>
                <w:sz w:val="20"/>
                <w:szCs w:val="20"/>
              </w:rPr>
              <w:t xml:space="preserve"> формами инвентарных карто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3F0D5B">
              <w:rPr>
                <w:rFonts w:ascii="Arial" w:hAnsi="Arial" w:cs="Arial"/>
                <w:sz w:val="20"/>
                <w:szCs w:val="20"/>
              </w:rPr>
              <w:t>чек учета нефинансовых активов.</w:t>
            </w:r>
          </w:p>
          <w:p w14:paraId="76FEA23E" w14:textId="0310429C" w:rsidR="00C64674" w:rsidRPr="003F0D5B" w:rsidRDefault="00C64674" w:rsidP="00C60DC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Применять новые положения нужно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ведении учета с </w:t>
            </w:r>
            <w:r w:rsidRPr="003F0D5B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01.01.2024</w:t>
            </w:r>
            <w:r w:rsidRPr="003675C4">
              <w:rPr>
                <w:rFonts w:ascii="Arial" w:hAnsi="Arial" w:cs="Arial"/>
                <w:color w:val="7030A0"/>
                <w:sz w:val="20"/>
                <w:szCs w:val="20"/>
              </w:rPr>
              <w:t xml:space="preserve">. 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Исключение составляют отдельные федеральные ор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ганы власти и федеральные казенные учреждения, передавшие ведение учета Казначейству</w:t>
            </w:r>
            <w:r w:rsidR="00CE41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они обязаны применять новые положения с </w:t>
            </w:r>
            <w:r w:rsidRPr="00CE41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01.01.2023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D9F72EF" w14:textId="2FA83D75" w:rsidR="00C64674" w:rsidRPr="003F0D5B" w:rsidRDefault="00C64674" w:rsidP="00C60D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 начать применять указанные поло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жения ранее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675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01.01.2024</w:t>
            </w:r>
            <w:r w:rsidRPr="003F0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если отразить это в учетной политике </w:t>
            </w:r>
          </w:p>
        </w:tc>
        <w:tc>
          <w:tcPr>
            <w:tcW w:w="3573" w:type="dxa"/>
            <w:shd w:val="clear" w:color="auto" w:fill="auto"/>
          </w:tcPr>
          <w:p w14:paraId="07804AE1" w14:textId="3D61802D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отражена:</w:t>
            </w:r>
          </w:p>
          <w:p w14:paraId="5FC556BA" w14:textId="6DB2E6DA" w:rsidR="00C64674" w:rsidRPr="009E4191" w:rsidRDefault="00FA4AAE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0" w:hanging="20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1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Последние изменения: Первич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ные учетные документы и реги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стры учета (для организаций бюджетной сферы)</w:t>
              </w:r>
            </w:hyperlink>
            <w:r w:rsidR="00C64674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16186DF" w14:textId="3E60B7C2" w:rsidR="00C64674" w:rsidRPr="009E4191" w:rsidRDefault="00FA4AAE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2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Путеводитель. Электронные пер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вичные учетные документы и ре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гистры бухгалтерского учета учреждений</w:t>
              </w:r>
            </w:hyperlink>
            <w:r w:rsidR="00F84E39" w:rsidRPr="009E4191">
              <w:rPr>
                <w:rFonts w:eastAsiaTheme="minorHAnsi"/>
              </w:rPr>
              <w:t>.</w:t>
            </w:r>
          </w:p>
          <w:p w14:paraId="20EE53FF" w14:textId="3A305D0D" w:rsidR="00C64674" w:rsidRPr="009E4191" w:rsidRDefault="00C64674" w:rsidP="00C64674">
            <w:pPr>
              <w:pStyle w:val="a9"/>
              <w:autoSpaceDE w:val="0"/>
              <w:autoSpaceDN w:val="0"/>
              <w:adjustRightInd w:val="0"/>
              <w:ind w:left="206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0F4CA48" w14:textId="49282210" w:rsidR="00C64674" w:rsidRPr="009E4191" w:rsidRDefault="00C64674" w:rsidP="00C6467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Заполнить новые формы помогут: </w:t>
            </w:r>
          </w:p>
          <w:p w14:paraId="48D6060A" w14:textId="63FD6145" w:rsidR="00C64674" w:rsidRPr="009E4191" w:rsidRDefault="00FA4AAE" w:rsidP="00C60DC0">
            <w:pPr>
              <w:pStyle w:val="a9"/>
              <w:numPr>
                <w:ilvl w:val="0"/>
                <w:numId w:val="5"/>
              </w:numPr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3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Образец заполнения учрежде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нием в 2023 г. акта о списании объектов нефинансовых активов (кроме транспортных средств) (ф. 0510454)</w:t>
              </w:r>
            </w:hyperlink>
            <w:r w:rsidR="00C64674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D7829DB" w14:textId="6410AF0F" w:rsidR="00C64674" w:rsidRPr="009E4191" w:rsidRDefault="00FA4AAE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4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Образец заполнения в 2023 г. накладной на отпуск материаль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ных ценностей на сторону (ф. 0510458)</w:t>
              </w:r>
            </w:hyperlink>
            <w:r w:rsidR="00C64674"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88C955F" w14:textId="377969E1" w:rsidR="00C64674" w:rsidRPr="00C60DC0" w:rsidRDefault="00FA4AAE" w:rsidP="00C60DC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hyperlink r:id="rId25" w:history="1">
              <w:r w:rsidR="00C64674" w:rsidRPr="00C60DC0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Образец заполнения учрежде</w:t>
              </w:r>
              <w:r w:rsidR="00E1425B" w:rsidRPr="00C60DC0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C60DC0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нием акта о списании материаль</w:t>
              </w:r>
              <w:r w:rsidR="00E1425B" w:rsidRPr="00C60DC0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C60DC0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ных запасов по ф. 0510460 в 2023 г.</w:t>
              </w:r>
            </w:hyperlink>
          </w:p>
        </w:tc>
      </w:tr>
      <w:tr w:rsidR="00C64674" w:rsidRPr="009E4191" w14:paraId="5AB58CBA" w14:textId="77777777" w:rsidTr="002064E4">
        <w:trPr>
          <w:trHeight w:val="557"/>
        </w:trPr>
        <w:tc>
          <w:tcPr>
            <w:tcW w:w="2689" w:type="dxa"/>
            <w:shd w:val="clear" w:color="auto" w:fill="auto"/>
          </w:tcPr>
          <w:p w14:paraId="19CF4368" w14:textId="6B70AEF4" w:rsidR="00C64674" w:rsidRPr="009E4191" w:rsidRDefault="00C64674" w:rsidP="00C646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Выпущены </w:t>
            </w:r>
            <w:proofErr w:type="spellStart"/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переходу на применение унифицированных форм элек</w:t>
            </w:r>
            <w:r w:rsidR="00E1425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тронных первичных до</w:t>
            </w:r>
            <w:r w:rsidR="00E1425B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кументов с 2023 г</w:t>
            </w:r>
            <w:r w:rsidR="00961BC1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645494C1" w14:textId="408E006E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разъяснил порядок пере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хода на применение электронных унифи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цированных форм электронных первичных документов и привел примеры заполнения отдельных форм.</w:t>
            </w:r>
          </w:p>
          <w:p w14:paraId="2EEDDB71" w14:textId="38AA9413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Документ содержит рекомендации по 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полнению таких первичных документов:</w:t>
            </w:r>
          </w:p>
          <w:p w14:paraId="760839EA" w14:textId="6725508D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прекращении признания ак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тивами объектов нефинансовых акти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вов (ф. 0510440);</w:t>
            </w:r>
          </w:p>
          <w:p w14:paraId="34A2CB3B" w14:textId="76CFD36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признании объектов нефи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нансовых активов (ф. 0510441);</w:t>
            </w:r>
          </w:p>
          <w:p w14:paraId="645B6EC6" w14:textId="7ACEBA6F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об оценке стоимости имуще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ства, отчужденного не в пользу органи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зации бюджетной сферы (ф. 0510442);</w:t>
            </w:r>
          </w:p>
          <w:p w14:paraId="22B581B1" w14:textId="6350E86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решение о проведении инвентариза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ции (ф. 0510439);</w:t>
            </w:r>
          </w:p>
          <w:p w14:paraId="283D1C06" w14:textId="32528BE4" w:rsidR="00C64674" w:rsidRPr="00FF5CCC" w:rsidRDefault="00C64674" w:rsidP="002B7BE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CC">
              <w:rPr>
                <w:rFonts w:ascii="Arial" w:hAnsi="Arial" w:cs="Arial"/>
                <w:sz w:val="20"/>
                <w:szCs w:val="20"/>
              </w:rPr>
              <w:t>изменение решения о проведении ин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FF5CCC">
              <w:rPr>
                <w:rFonts w:ascii="Arial" w:hAnsi="Arial" w:cs="Arial"/>
                <w:sz w:val="20"/>
                <w:szCs w:val="20"/>
              </w:rPr>
              <w:t>вентаризации (ф. 0510447).</w:t>
            </w:r>
          </w:p>
          <w:p w14:paraId="4B68D8E9" w14:textId="235782BB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Кроме того, рекомендации содержат опи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сание бизнес-процессов, отражающих по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следовательность действий при заполне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нии указанных документов. Например, по процедуре голосования для электронных документов, в которых предусмотрено го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лосование комиссии по резолюции (реше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нию, предложению).</w:t>
            </w:r>
          </w:p>
          <w:p w14:paraId="3F59A19B" w14:textId="67AFC524" w:rsidR="00C64674" w:rsidRPr="009E4191" w:rsidRDefault="00C64674" w:rsidP="002B7BE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sz w:val="20"/>
                <w:szCs w:val="20"/>
              </w:rPr>
              <w:t>К такому электронному документу обяза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тельно прикладывается лист голосования и вместе с ним направляется на утвержде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ние руководителю учреждения (уполномо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ченному им лицу). После утверждения до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кумент переходит в статус </w:t>
            </w:r>
            <w:r w:rsidR="00F65147" w:rsidRPr="009E4191">
              <w:rPr>
                <w:rFonts w:ascii="Arial" w:hAnsi="Arial" w:cs="Arial"/>
                <w:sz w:val="20"/>
                <w:szCs w:val="20"/>
              </w:rPr>
              <w:t>«</w:t>
            </w:r>
            <w:r w:rsidRPr="009E4191"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F65147" w:rsidRPr="009E4191">
              <w:rPr>
                <w:rFonts w:ascii="Arial" w:hAnsi="Arial" w:cs="Arial"/>
                <w:sz w:val="20"/>
                <w:szCs w:val="20"/>
              </w:rPr>
              <w:t>»</w:t>
            </w:r>
            <w:r w:rsidRPr="009E4191">
              <w:rPr>
                <w:rFonts w:ascii="Arial" w:hAnsi="Arial" w:cs="Arial"/>
                <w:sz w:val="20"/>
                <w:szCs w:val="20"/>
              </w:rPr>
              <w:t xml:space="preserve"> и направляется в бухгалтерию (или центра</w:t>
            </w:r>
            <w:r w:rsidR="00E1425B">
              <w:rPr>
                <w:rFonts w:ascii="Arial" w:hAnsi="Arial" w:cs="Arial"/>
                <w:sz w:val="20"/>
                <w:szCs w:val="20"/>
              </w:rPr>
              <w:softHyphen/>
            </w:r>
            <w:r w:rsidRPr="009E4191">
              <w:rPr>
                <w:rFonts w:ascii="Arial" w:hAnsi="Arial" w:cs="Arial"/>
                <w:sz w:val="20"/>
                <w:szCs w:val="20"/>
              </w:rPr>
              <w:t>лизованную бухгалтерию) для отражения в учете</w:t>
            </w:r>
          </w:p>
        </w:tc>
        <w:tc>
          <w:tcPr>
            <w:tcW w:w="3573" w:type="dxa"/>
            <w:shd w:val="clear" w:color="auto" w:fill="auto"/>
          </w:tcPr>
          <w:p w14:paraId="5A4B2E46" w14:textId="7B1DA4B5" w:rsidR="00C64674" w:rsidRPr="009E4191" w:rsidRDefault="00E32930" w:rsidP="003675C4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eastAsiaTheme="minorHAnsi" w:hAnsi="Arial" w:cs="Arial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Рекомендации учтены:</w:t>
            </w:r>
          </w:p>
          <w:p w14:paraId="747046B9" w14:textId="6A88E40B" w:rsidR="00134E29" w:rsidRPr="003675C4" w:rsidRDefault="00FA4AAE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color w:val="0000FF"/>
                <w:sz w:val="20"/>
                <w:szCs w:val="20"/>
                <w:lang w:eastAsia="en-US"/>
              </w:rPr>
            </w:pPr>
            <w:hyperlink r:id="rId26" w:tooltip="Ссылка на КонсультантПлюс" w:history="1">
              <w:r w:rsidR="00134E29" w:rsidRPr="003675C4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Последние изменения: Первич</w:t>
              </w:r>
              <w:r w:rsidR="00E1425B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134E29" w:rsidRPr="003675C4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ные учетные документы и реги</w:t>
              </w:r>
              <w:r w:rsidR="00E1425B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134E29" w:rsidRPr="003675C4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стры учета (для организаций бюджетной сферы)</w:t>
              </w:r>
            </w:hyperlink>
            <w:r w:rsidR="00134E29">
              <w:rPr>
                <w:rFonts w:ascii="Arial" w:eastAsiaTheme="minorHAnsi" w:hAnsi="Arial" w:cs="Arial"/>
                <w:color w:val="0000FF"/>
                <w:sz w:val="20"/>
                <w:szCs w:val="20"/>
                <w:lang w:eastAsia="en-US"/>
              </w:rPr>
              <w:t>;</w:t>
            </w:r>
          </w:p>
          <w:p w14:paraId="69B39AE0" w14:textId="132C1FAE" w:rsidR="00C64674" w:rsidRPr="003675C4" w:rsidRDefault="00FA4AAE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hyperlink r:id="rId27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</w:t>
              </w:r>
              <w:r w:rsidR="00E32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решени</w:t>
              </w:r>
              <w:r w:rsidR="00E32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proofErr w:type="gramStart"/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: Как</w:t>
              </w:r>
              <w:proofErr w:type="gramEnd"/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учрежде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заполнить изменение ре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шения о проведении инвентари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зации по форме 0510447</w:t>
              </w:r>
            </w:hyperlink>
            <w:r w:rsidR="00C64674" w:rsidRPr="003675C4"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  <w:t>;</w:t>
            </w:r>
          </w:p>
          <w:p w14:paraId="54F38E22" w14:textId="109F0342" w:rsidR="00C64674" w:rsidRPr="003675C4" w:rsidRDefault="00FA4AAE" w:rsidP="002B7BEC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eastAsiaTheme="minorHAnsi" w:hAnsi="Arial" w:cs="Arial"/>
                <w:sz w:val="20"/>
                <w:szCs w:val="20"/>
                <w:u w:val="none"/>
                <w:lang w:eastAsia="en-US"/>
              </w:rPr>
            </w:pPr>
            <w:hyperlink r:id="rId28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</w:t>
              </w:r>
              <w:r w:rsidR="00E32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решени</w:t>
              </w:r>
              <w:r w:rsidR="00E32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proofErr w:type="gramStart"/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: Как</w:t>
              </w:r>
              <w:proofErr w:type="gramEnd"/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учрежде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заполнить акт об утилиза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ции (уничтожении) материаль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ных ценностей по форме 0510435</w:t>
              </w:r>
            </w:hyperlink>
          </w:p>
          <w:p w14:paraId="6C999351" w14:textId="3AE88BE5" w:rsidR="00C64674" w:rsidRPr="009E4191" w:rsidRDefault="00C64674" w:rsidP="00C646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74" w:rsidRPr="009E4191" w14:paraId="13873794" w14:textId="77777777" w:rsidTr="00B43C5B">
        <w:trPr>
          <w:trHeight w:val="558"/>
        </w:trPr>
        <w:tc>
          <w:tcPr>
            <w:tcW w:w="2689" w:type="dxa"/>
            <w:shd w:val="clear" w:color="auto" w:fill="auto"/>
          </w:tcPr>
          <w:p w14:paraId="57F74D84" w14:textId="3BA900D4" w:rsidR="00C64674" w:rsidRPr="009E4191" w:rsidRDefault="00C64674" w:rsidP="00C6467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 1 января 2023 г</w:t>
            </w:r>
            <w:r w:rsidR="00E3293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обязателен к применению еще </w:t>
            </w:r>
            <w:r w:rsidR="00E3293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один </w:t>
            </w:r>
            <w:r w:rsidRPr="009E419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стандарт бухгалтерского учета</w:t>
            </w:r>
          </w:p>
        </w:tc>
        <w:tc>
          <w:tcPr>
            <w:tcW w:w="4223" w:type="dxa"/>
            <w:shd w:val="clear" w:color="auto" w:fill="auto"/>
          </w:tcPr>
          <w:p w14:paraId="393A26A3" w14:textId="71E69A8E" w:rsidR="00C64674" w:rsidRPr="009E4191" w:rsidRDefault="00C64674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675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01.01.2023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органы и учреждения, упол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номоченные на управление и распоряже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имуществом, составляющим казну, или выполняющие полномочи</w:t>
            </w:r>
            <w:r w:rsidR="009943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bookmarkStart w:id="0" w:name="_GoBack"/>
            <w:bookmarkEnd w:id="0"/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конце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дента</w:t>
            </w:r>
            <w:proofErr w:type="spellEnd"/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учредителя управления имуще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ством соответствующего публично-право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вого образования, обязаны применять </w:t>
            </w:r>
            <w:hyperlink r:id="rId29" w:history="1"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СГС </w:t>
              </w:r>
              <w:r w:rsidRPr="003675C4">
                <w:rPr>
                  <w:rStyle w:val="a3"/>
                  <w:u w:val="none"/>
                </w:rPr>
                <w:t xml:space="preserve"> 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Государственная (муниципальная) казна</w:t>
              </w:r>
              <w:r w:rsidR="00F65147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360157DC" w14:textId="7B42DD00" w:rsidR="00C64674" w:rsidRPr="009E4191" w:rsidRDefault="00C64674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 устанавливает единые требова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 бюджетному учету активов, класси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фицируемых как нефинансовые активы имущества казны.</w:t>
            </w:r>
          </w:p>
          <w:p w14:paraId="6C9475FA" w14:textId="567C42EC" w:rsidR="00C64674" w:rsidRPr="009E4191" w:rsidRDefault="00C64674" w:rsidP="00C043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об объектах имущества казны подлежит обязательному раскры</w:t>
            </w:r>
            <w:r w:rsidR="00E142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тию в бюджетной отчетности.</w:t>
            </w:r>
          </w:p>
          <w:p w14:paraId="4565A5E2" w14:textId="3C58AFC6" w:rsidR="00C64674" w:rsidRPr="009E4191" w:rsidRDefault="00C64674" w:rsidP="00C04309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Применять новые положения нужно при ведении бюджетного учета с </w:t>
            </w:r>
            <w:r w:rsidRPr="003675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01.01.2023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при составлении бюджетной отчетности</w:t>
            </w:r>
            <w:r w:rsidR="00924B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24B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начиная</w:t>
            </w:r>
            <w:proofErr w:type="gramEnd"/>
            <w:r w:rsidRPr="009E4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отчетности 2023 г.</w:t>
            </w:r>
          </w:p>
        </w:tc>
        <w:tc>
          <w:tcPr>
            <w:tcW w:w="3573" w:type="dxa"/>
            <w:shd w:val="clear" w:color="auto" w:fill="auto"/>
          </w:tcPr>
          <w:p w14:paraId="1AFBC99C" w14:textId="35968A95" w:rsidR="00C64674" w:rsidRPr="009E4191" w:rsidRDefault="00924BD5" w:rsidP="00C043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учтена в материалах</w:t>
            </w:r>
            <w:r w:rsidR="00C64674" w:rsidRPr="009E41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BF6AEB3" w14:textId="01501778" w:rsidR="00C64674" w:rsidRPr="003675C4" w:rsidRDefault="00FA4AAE" w:rsidP="00C0430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Style w:val="a3"/>
                <w:rFonts w:eastAsiaTheme="minorHAnsi"/>
                <w:u w:val="none"/>
              </w:rPr>
            </w:pPr>
            <w:hyperlink r:id="rId30" w:history="1"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Последни</w:t>
              </w:r>
              <w:r w:rsidR="00924BD5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</w:t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изменения: Учет не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финансовых активов имущества казны (для казенных учреждений, государственных органов и орга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нов местного самоуправления (органов местной администра</w:t>
              </w:r>
              <w:r w:rsidR="00E1425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3675C4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ции))</w:t>
              </w:r>
            </w:hyperlink>
            <w:r w:rsidR="00C64674" w:rsidRPr="003675C4">
              <w:rPr>
                <w:rStyle w:val="a3"/>
                <w:rFonts w:eastAsiaTheme="minorHAnsi"/>
                <w:u w:val="none"/>
              </w:rPr>
              <w:t>;</w:t>
            </w:r>
          </w:p>
          <w:p w14:paraId="5CB1732C" w14:textId="69D0DACF" w:rsidR="00C64674" w:rsidRPr="00C04309" w:rsidRDefault="00FA4AAE" w:rsidP="00C0430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eastAsiaTheme="minorHAnsi"/>
                <w:color w:val="0000FF"/>
                <w:spacing w:val="-4"/>
                <w:lang w:eastAsia="en-US"/>
              </w:rPr>
            </w:pPr>
            <w:hyperlink r:id="rId31" w:history="1"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Готово</w:t>
              </w:r>
              <w:r w:rsidR="00924BD5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е</w:t>
              </w:r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 xml:space="preserve"> решени</w:t>
              </w:r>
              <w:r w:rsidR="00924BD5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е</w:t>
              </w:r>
              <w:proofErr w:type="gramStart"/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: Как</w:t>
              </w:r>
              <w:proofErr w:type="gramEnd"/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 xml:space="preserve"> учитывать нефинансовые активы имуще</w:t>
              </w:r>
              <w:r w:rsidR="00E1425B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ства государственной (муници</w:t>
              </w:r>
              <w:r w:rsidR="00E1425B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C64674" w:rsidRPr="00C04309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пальной) казны (счет 0 108 00 000)</w:t>
              </w:r>
            </w:hyperlink>
          </w:p>
          <w:p w14:paraId="1E9C4F3B" w14:textId="77777777" w:rsidR="00C64674" w:rsidRPr="009E4191" w:rsidRDefault="00C64674" w:rsidP="00C04309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0D2D15" w14:textId="3E1B9C24" w:rsidR="00C64674" w:rsidRPr="009E4191" w:rsidRDefault="00C64674" w:rsidP="00C043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CA7FF" w14:textId="77777777" w:rsidR="00792D6F" w:rsidRPr="009E4191" w:rsidRDefault="00792D6F" w:rsidP="00FF2360"/>
    <w:sectPr w:rsidR="00792D6F" w:rsidRPr="009E4191" w:rsidSect="00D420D6">
      <w:headerReference w:type="default" r:id="rId32"/>
      <w:footerReference w:type="even" r:id="rId33"/>
      <w:footerReference w:type="default" r:id="rId34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4220" w14:textId="77777777" w:rsidR="00FA4AAE" w:rsidRDefault="00FA4AAE" w:rsidP="00CF2ACE">
      <w:r>
        <w:separator/>
      </w:r>
    </w:p>
  </w:endnote>
  <w:endnote w:type="continuationSeparator" w:id="0">
    <w:p w14:paraId="39EE13C0" w14:textId="77777777" w:rsidR="00FA4AAE" w:rsidRDefault="00FA4AAE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FA4AA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833" w14:textId="5AE1E823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84E39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1269E10B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246FA">
      <w:rPr>
        <w:i/>
        <w:color w:val="808080"/>
        <w:sz w:val="18"/>
        <w:szCs w:val="18"/>
      </w:rPr>
      <w:t>19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194162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194162">
      <w:rPr>
        <w:i/>
        <w:color w:val="808080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73C5" w14:textId="77777777" w:rsidR="00FA4AAE" w:rsidRDefault="00FA4AAE" w:rsidP="00CF2ACE">
      <w:r>
        <w:separator/>
      </w:r>
    </w:p>
  </w:footnote>
  <w:footnote w:type="continuationSeparator" w:id="0">
    <w:p w14:paraId="7673DA2E" w14:textId="77777777" w:rsidR="00FA4AAE" w:rsidRDefault="00FA4AAE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4AF4" w14:textId="6AC83473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FC491D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CF2ACE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7228E4"/>
    <w:multiLevelType w:val="hybridMultilevel"/>
    <w:tmpl w:val="C7BE3D88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D7603"/>
    <w:multiLevelType w:val="hybridMultilevel"/>
    <w:tmpl w:val="3EDCDE80"/>
    <w:lvl w:ilvl="0" w:tplc="D2F0E3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581978"/>
    <w:multiLevelType w:val="hybridMultilevel"/>
    <w:tmpl w:val="84F665E4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301FF"/>
    <w:multiLevelType w:val="hybridMultilevel"/>
    <w:tmpl w:val="941A2C48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5D88"/>
    <w:multiLevelType w:val="hybridMultilevel"/>
    <w:tmpl w:val="E4621100"/>
    <w:lvl w:ilvl="0" w:tplc="D2F0E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D09C3"/>
    <w:multiLevelType w:val="hybridMultilevel"/>
    <w:tmpl w:val="4078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26300"/>
    <w:rsid w:val="00031053"/>
    <w:rsid w:val="0003137E"/>
    <w:rsid w:val="00031E50"/>
    <w:rsid w:val="0003212D"/>
    <w:rsid w:val="00040E37"/>
    <w:rsid w:val="00065356"/>
    <w:rsid w:val="00065E2C"/>
    <w:rsid w:val="000667C4"/>
    <w:rsid w:val="00075664"/>
    <w:rsid w:val="00077BA0"/>
    <w:rsid w:val="00085250"/>
    <w:rsid w:val="00086272"/>
    <w:rsid w:val="00092CFB"/>
    <w:rsid w:val="00096D2F"/>
    <w:rsid w:val="000A42D4"/>
    <w:rsid w:val="000B1B64"/>
    <w:rsid w:val="000C0AC1"/>
    <w:rsid w:val="000C4CC9"/>
    <w:rsid w:val="000C79FC"/>
    <w:rsid w:val="000D25C7"/>
    <w:rsid w:val="000E0B58"/>
    <w:rsid w:val="00101673"/>
    <w:rsid w:val="00101B05"/>
    <w:rsid w:val="00106EFE"/>
    <w:rsid w:val="001140EA"/>
    <w:rsid w:val="001215EB"/>
    <w:rsid w:val="0012454C"/>
    <w:rsid w:val="00134E29"/>
    <w:rsid w:val="001428A8"/>
    <w:rsid w:val="001457F6"/>
    <w:rsid w:val="00145C85"/>
    <w:rsid w:val="0015520D"/>
    <w:rsid w:val="00165334"/>
    <w:rsid w:val="00182AE5"/>
    <w:rsid w:val="00186062"/>
    <w:rsid w:val="00194162"/>
    <w:rsid w:val="00197C5D"/>
    <w:rsid w:val="001A46CD"/>
    <w:rsid w:val="001B19E0"/>
    <w:rsid w:val="001C2125"/>
    <w:rsid w:val="001C2629"/>
    <w:rsid w:val="001C6009"/>
    <w:rsid w:val="001E0A1C"/>
    <w:rsid w:val="001E4885"/>
    <w:rsid w:val="00202080"/>
    <w:rsid w:val="00204AA5"/>
    <w:rsid w:val="002064E4"/>
    <w:rsid w:val="002276E8"/>
    <w:rsid w:val="0023384B"/>
    <w:rsid w:val="00234BD1"/>
    <w:rsid w:val="00235063"/>
    <w:rsid w:val="00235255"/>
    <w:rsid w:val="0023659E"/>
    <w:rsid w:val="00240193"/>
    <w:rsid w:val="00250896"/>
    <w:rsid w:val="00252A0D"/>
    <w:rsid w:val="0025745D"/>
    <w:rsid w:val="00260EC8"/>
    <w:rsid w:val="00273008"/>
    <w:rsid w:val="00277189"/>
    <w:rsid w:val="002831DE"/>
    <w:rsid w:val="00283EB5"/>
    <w:rsid w:val="00284146"/>
    <w:rsid w:val="00291F9F"/>
    <w:rsid w:val="002947D1"/>
    <w:rsid w:val="00294A6A"/>
    <w:rsid w:val="00295983"/>
    <w:rsid w:val="002A176F"/>
    <w:rsid w:val="002A3632"/>
    <w:rsid w:val="002A5046"/>
    <w:rsid w:val="002A76B0"/>
    <w:rsid w:val="002B52D0"/>
    <w:rsid w:val="002B7BEC"/>
    <w:rsid w:val="002C0966"/>
    <w:rsid w:val="002C460D"/>
    <w:rsid w:val="002C65DB"/>
    <w:rsid w:val="002C6778"/>
    <w:rsid w:val="002C679B"/>
    <w:rsid w:val="002D17D7"/>
    <w:rsid w:val="002D3D67"/>
    <w:rsid w:val="002F0038"/>
    <w:rsid w:val="0030144B"/>
    <w:rsid w:val="00302EAD"/>
    <w:rsid w:val="0030722D"/>
    <w:rsid w:val="003200F3"/>
    <w:rsid w:val="00320356"/>
    <w:rsid w:val="00335892"/>
    <w:rsid w:val="00340931"/>
    <w:rsid w:val="00343E4A"/>
    <w:rsid w:val="00350A8E"/>
    <w:rsid w:val="003522C2"/>
    <w:rsid w:val="00352A6F"/>
    <w:rsid w:val="00355405"/>
    <w:rsid w:val="00355D3E"/>
    <w:rsid w:val="0036326D"/>
    <w:rsid w:val="00363410"/>
    <w:rsid w:val="00365885"/>
    <w:rsid w:val="003675C4"/>
    <w:rsid w:val="003677E6"/>
    <w:rsid w:val="00367CF7"/>
    <w:rsid w:val="0037505B"/>
    <w:rsid w:val="00375CEB"/>
    <w:rsid w:val="00391918"/>
    <w:rsid w:val="00393F9B"/>
    <w:rsid w:val="003B0608"/>
    <w:rsid w:val="003B68A7"/>
    <w:rsid w:val="003C0F55"/>
    <w:rsid w:val="003C38BA"/>
    <w:rsid w:val="003C4725"/>
    <w:rsid w:val="003C5803"/>
    <w:rsid w:val="003C7E22"/>
    <w:rsid w:val="003C7EDA"/>
    <w:rsid w:val="003D2834"/>
    <w:rsid w:val="003E0175"/>
    <w:rsid w:val="003E1F54"/>
    <w:rsid w:val="003E5EB8"/>
    <w:rsid w:val="003F0D5B"/>
    <w:rsid w:val="0041130C"/>
    <w:rsid w:val="004218C9"/>
    <w:rsid w:val="00424A0A"/>
    <w:rsid w:val="004341D9"/>
    <w:rsid w:val="00436230"/>
    <w:rsid w:val="00440A6A"/>
    <w:rsid w:val="004427B7"/>
    <w:rsid w:val="0044494F"/>
    <w:rsid w:val="00446202"/>
    <w:rsid w:val="00446B12"/>
    <w:rsid w:val="00454AC0"/>
    <w:rsid w:val="00475AEE"/>
    <w:rsid w:val="00482517"/>
    <w:rsid w:val="00483201"/>
    <w:rsid w:val="00494FFB"/>
    <w:rsid w:val="004A5128"/>
    <w:rsid w:val="004A7A15"/>
    <w:rsid w:val="004A7AE8"/>
    <w:rsid w:val="004A7C6C"/>
    <w:rsid w:val="004B2013"/>
    <w:rsid w:val="004B2597"/>
    <w:rsid w:val="004D52C5"/>
    <w:rsid w:val="004F61B4"/>
    <w:rsid w:val="004F7BD1"/>
    <w:rsid w:val="004F7EDC"/>
    <w:rsid w:val="00511A13"/>
    <w:rsid w:val="005137D6"/>
    <w:rsid w:val="00522628"/>
    <w:rsid w:val="005315EF"/>
    <w:rsid w:val="00532221"/>
    <w:rsid w:val="00537D18"/>
    <w:rsid w:val="005412B6"/>
    <w:rsid w:val="00547055"/>
    <w:rsid w:val="00551625"/>
    <w:rsid w:val="00552536"/>
    <w:rsid w:val="00554738"/>
    <w:rsid w:val="005571E4"/>
    <w:rsid w:val="00571BB1"/>
    <w:rsid w:val="005805E2"/>
    <w:rsid w:val="005819B8"/>
    <w:rsid w:val="005867C4"/>
    <w:rsid w:val="005A42AA"/>
    <w:rsid w:val="005A5718"/>
    <w:rsid w:val="005B460D"/>
    <w:rsid w:val="005C7DAA"/>
    <w:rsid w:val="005D2529"/>
    <w:rsid w:val="005D45C0"/>
    <w:rsid w:val="005D5544"/>
    <w:rsid w:val="005D71FC"/>
    <w:rsid w:val="005D7891"/>
    <w:rsid w:val="005E2016"/>
    <w:rsid w:val="005E4BCA"/>
    <w:rsid w:val="005F42A5"/>
    <w:rsid w:val="00607F0F"/>
    <w:rsid w:val="00610D44"/>
    <w:rsid w:val="00620066"/>
    <w:rsid w:val="00624420"/>
    <w:rsid w:val="006246FA"/>
    <w:rsid w:val="006256CE"/>
    <w:rsid w:val="00626027"/>
    <w:rsid w:val="006278B2"/>
    <w:rsid w:val="00632B57"/>
    <w:rsid w:val="0063687A"/>
    <w:rsid w:val="00636BD2"/>
    <w:rsid w:val="00636E85"/>
    <w:rsid w:val="006457B1"/>
    <w:rsid w:val="006461B6"/>
    <w:rsid w:val="00651A2F"/>
    <w:rsid w:val="006621A4"/>
    <w:rsid w:val="0067535E"/>
    <w:rsid w:val="0068484A"/>
    <w:rsid w:val="00692DA5"/>
    <w:rsid w:val="0069351B"/>
    <w:rsid w:val="006940C7"/>
    <w:rsid w:val="006A0AA7"/>
    <w:rsid w:val="006A4BEA"/>
    <w:rsid w:val="006A5D24"/>
    <w:rsid w:val="006A7BDD"/>
    <w:rsid w:val="006B66AB"/>
    <w:rsid w:val="006B6F01"/>
    <w:rsid w:val="006C3258"/>
    <w:rsid w:val="006C7DE4"/>
    <w:rsid w:val="006D6A71"/>
    <w:rsid w:val="006F39A0"/>
    <w:rsid w:val="006F3B9C"/>
    <w:rsid w:val="007014EF"/>
    <w:rsid w:val="0070455D"/>
    <w:rsid w:val="00707EB3"/>
    <w:rsid w:val="00721B5E"/>
    <w:rsid w:val="00727143"/>
    <w:rsid w:val="00727798"/>
    <w:rsid w:val="00731859"/>
    <w:rsid w:val="007404F4"/>
    <w:rsid w:val="00742CD0"/>
    <w:rsid w:val="00750294"/>
    <w:rsid w:val="00751DFC"/>
    <w:rsid w:val="00761E60"/>
    <w:rsid w:val="007653D9"/>
    <w:rsid w:val="0077359C"/>
    <w:rsid w:val="00775328"/>
    <w:rsid w:val="00792D6F"/>
    <w:rsid w:val="007A2488"/>
    <w:rsid w:val="007A279D"/>
    <w:rsid w:val="007A40B2"/>
    <w:rsid w:val="007A4378"/>
    <w:rsid w:val="007A4A0A"/>
    <w:rsid w:val="007A4BD7"/>
    <w:rsid w:val="007A66AB"/>
    <w:rsid w:val="007B6023"/>
    <w:rsid w:val="007B6818"/>
    <w:rsid w:val="007C2B56"/>
    <w:rsid w:val="007C446B"/>
    <w:rsid w:val="007E057C"/>
    <w:rsid w:val="007E1879"/>
    <w:rsid w:val="007E2AEB"/>
    <w:rsid w:val="007E7D6B"/>
    <w:rsid w:val="007F11A0"/>
    <w:rsid w:val="007F3165"/>
    <w:rsid w:val="00802A68"/>
    <w:rsid w:val="00803429"/>
    <w:rsid w:val="00806A1A"/>
    <w:rsid w:val="008076F5"/>
    <w:rsid w:val="00825EE6"/>
    <w:rsid w:val="00826A79"/>
    <w:rsid w:val="00843C71"/>
    <w:rsid w:val="00847E45"/>
    <w:rsid w:val="008530AB"/>
    <w:rsid w:val="0085397E"/>
    <w:rsid w:val="00856494"/>
    <w:rsid w:val="00862F9B"/>
    <w:rsid w:val="00863D84"/>
    <w:rsid w:val="00870D7F"/>
    <w:rsid w:val="0087183C"/>
    <w:rsid w:val="008718B0"/>
    <w:rsid w:val="00871B77"/>
    <w:rsid w:val="00871DD3"/>
    <w:rsid w:val="008727A5"/>
    <w:rsid w:val="0087608E"/>
    <w:rsid w:val="008835B9"/>
    <w:rsid w:val="008869C8"/>
    <w:rsid w:val="008B3124"/>
    <w:rsid w:val="008B5DEB"/>
    <w:rsid w:val="008B62E9"/>
    <w:rsid w:val="008D0156"/>
    <w:rsid w:val="008D14F7"/>
    <w:rsid w:val="008E0902"/>
    <w:rsid w:val="008E2721"/>
    <w:rsid w:val="008E33B2"/>
    <w:rsid w:val="008E356F"/>
    <w:rsid w:val="008E7B4E"/>
    <w:rsid w:val="008F2585"/>
    <w:rsid w:val="00900A52"/>
    <w:rsid w:val="00905DCB"/>
    <w:rsid w:val="009117D5"/>
    <w:rsid w:val="0091311B"/>
    <w:rsid w:val="00916635"/>
    <w:rsid w:val="00924BD5"/>
    <w:rsid w:val="00925DDA"/>
    <w:rsid w:val="00926F40"/>
    <w:rsid w:val="0093262C"/>
    <w:rsid w:val="00933CBB"/>
    <w:rsid w:val="00935450"/>
    <w:rsid w:val="00940D4C"/>
    <w:rsid w:val="009429D2"/>
    <w:rsid w:val="00943E65"/>
    <w:rsid w:val="00960BCD"/>
    <w:rsid w:val="00961BC1"/>
    <w:rsid w:val="00963441"/>
    <w:rsid w:val="009731AA"/>
    <w:rsid w:val="00975748"/>
    <w:rsid w:val="00983298"/>
    <w:rsid w:val="00983A48"/>
    <w:rsid w:val="00992390"/>
    <w:rsid w:val="009936D7"/>
    <w:rsid w:val="0099436B"/>
    <w:rsid w:val="009959B5"/>
    <w:rsid w:val="009A5C26"/>
    <w:rsid w:val="009B41F0"/>
    <w:rsid w:val="009B6D15"/>
    <w:rsid w:val="009C145A"/>
    <w:rsid w:val="009D45F8"/>
    <w:rsid w:val="009E11D0"/>
    <w:rsid w:val="009E15F9"/>
    <w:rsid w:val="009E4191"/>
    <w:rsid w:val="009E5989"/>
    <w:rsid w:val="00A01E82"/>
    <w:rsid w:val="00A02165"/>
    <w:rsid w:val="00A05A02"/>
    <w:rsid w:val="00A136AB"/>
    <w:rsid w:val="00A137FD"/>
    <w:rsid w:val="00A1539A"/>
    <w:rsid w:val="00A167BC"/>
    <w:rsid w:val="00A248B9"/>
    <w:rsid w:val="00A33824"/>
    <w:rsid w:val="00A351AA"/>
    <w:rsid w:val="00A36B9F"/>
    <w:rsid w:val="00A4118A"/>
    <w:rsid w:val="00A438BD"/>
    <w:rsid w:val="00A43D9F"/>
    <w:rsid w:val="00A46A1E"/>
    <w:rsid w:val="00A510BF"/>
    <w:rsid w:val="00A5111D"/>
    <w:rsid w:val="00A5508C"/>
    <w:rsid w:val="00A766DC"/>
    <w:rsid w:val="00A94147"/>
    <w:rsid w:val="00A942FB"/>
    <w:rsid w:val="00A9659D"/>
    <w:rsid w:val="00AE3900"/>
    <w:rsid w:val="00AE5DD9"/>
    <w:rsid w:val="00AF5C34"/>
    <w:rsid w:val="00B00478"/>
    <w:rsid w:val="00B0608B"/>
    <w:rsid w:val="00B14ADF"/>
    <w:rsid w:val="00B279CD"/>
    <w:rsid w:val="00B32104"/>
    <w:rsid w:val="00B37A62"/>
    <w:rsid w:val="00B40A79"/>
    <w:rsid w:val="00B766AA"/>
    <w:rsid w:val="00B80A2D"/>
    <w:rsid w:val="00B80DAD"/>
    <w:rsid w:val="00B84285"/>
    <w:rsid w:val="00BA7C82"/>
    <w:rsid w:val="00BB2BCC"/>
    <w:rsid w:val="00BB3780"/>
    <w:rsid w:val="00BB7517"/>
    <w:rsid w:val="00BC077C"/>
    <w:rsid w:val="00BC14B9"/>
    <w:rsid w:val="00BC7CD3"/>
    <w:rsid w:val="00BD1E27"/>
    <w:rsid w:val="00BD7866"/>
    <w:rsid w:val="00BE08F1"/>
    <w:rsid w:val="00BE1A79"/>
    <w:rsid w:val="00BE5839"/>
    <w:rsid w:val="00BF2C3E"/>
    <w:rsid w:val="00C00B98"/>
    <w:rsid w:val="00C0366A"/>
    <w:rsid w:val="00C04309"/>
    <w:rsid w:val="00C06A42"/>
    <w:rsid w:val="00C13C1F"/>
    <w:rsid w:val="00C24478"/>
    <w:rsid w:val="00C321C2"/>
    <w:rsid w:val="00C34A92"/>
    <w:rsid w:val="00C41682"/>
    <w:rsid w:val="00C41DB3"/>
    <w:rsid w:val="00C46A3D"/>
    <w:rsid w:val="00C60DC0"/>
    <w:rsid w:val="00C64674"/>
    <w:rsid w:val="00C70753"/>
    <w:rsid w:val="00C75339"/>
    <w:rsid w:val="00CA1414"/>
    <w:rsid w:val="00CA367A"/>
    <w:rsid w:val="00CA3A82"/>
    <w:rsid w:val="00CA662B"/>
    <w:rsid w:val="00CA7B36"/>
    <w:rsid w:val="00CB306D"/>
    <w:rsid w:val="00CB3784"/>
    <w:rsid w:val="00CC2CBF"/>
    <w:rsid w:val="00CC317E"/>
    <w:rsid w:val="00CD4353"/>
    <w:rsid w:val="00CD49F2"/>
    <w:rsid w:val="00CD4F3F"/>
    <w:rsid w:val="00CD5594"/>
    <w:rsid w:val="00CE4107"/>
    <w:rsid w:val="00CE5F20"/>
    <w:rsid w:val="00CE7889"/>
    <w:rsid w:val="00CF2ACE"/>
    <w:rsid w:val="00D05469"/>
    <w:rsid w:val="00D10556"/>
    <w:rsid w:val="00D1705A"/>
    <w:rsid w:val="00D25309"/>
    <w:rsid w:val="00D2671F"/>
    <w:rsid w:val="00D3261C"/>
    <w:rsid w:val="00D36085"/>
    <w:rsid w:val="00D3630E"/>
    <w:rsid w:val="00D36CA0"/>
    <w:rsid w:val="00D37405"/>
    <w:rsid w:val="00D60168"/>
    <w:rsid w:val="00D62265"/>
    <w:rsid w:val="00D65A11"/>
    <w:rsid w:val="00D665B5"/>
    <w:rsid w:val="00D70675"/>
    <w:rsid w:val="00D71936"/>
    <w:rsid w:val="00D75F71"/>
    <w:rsid w:val="00D75F9C"/>
    <w:rsid w:val="00D823BA"/>
    <w:rsid w:val="00D86298"/>
    <w:rsid w:val="00D875D6"/>
    <w:rsid w:val="00D93AD4"/>
    <w:rsid w:val="00D974FB"/>
    <w:rsid w:val="00DA0085"/>
    <w:rsid w:val="00DA0CA9"/>
    <w:rsid w:val="00DA5308"/>
    <w:rsid w:val="00DB02E6"/>
    <w:rsid w:val="00DB2E2B"/>
    <w:rsid w:val="00DB408B"/>
    <w:rsid w:val="00DC4A8F"/>
    <w:rsid w:val="00DD0AA8"/>
    <w:rsid w:val="00DD0B87"/>
    <w:rsid w:val="00DD2561"/>
    <w:rsid w:val="00DD2952"/>
    <w:rsid w:val="00DD507E"/>
    <w:rsid w:val="00DD5F7C"/>
    <w:rsid w:val="00DE14B2"/>
    <w:rsid w:val="00DE2570"/>
    <w:rsid w:val="00DE428F"/>
    <w:rsid w:val="00DE51E7"/>
    <w:rsid w:val="00DF08B2"/>
    <w:rsid w:val="00DF22C1"/>
    <w:rsid w:val="00E07FA8"/>
    <w:rsid w:val="00E1425B"/>
    <w:rsid w:val="00E1595D"/>
    <w:rsid w:val="00E24852"/>
    <w:rsid w:val="00E25377"/>
    <w:rsid w:val="00E26EFD"/>
    <w:rsid w:val="00E322BB"/>
    <w:rsid w:val="00E32930"/>
    <w:rsid w:val="00E3547F"/>
    <w:rsid w:val="00E42577"/>
    <w:rsid w:val="00E42EEC"/>
    <w:rsid w:val="00E4510F"/>
    <w:rsid w:val="00E54039"/>
    <w:rsid w:val="00E54DE1"/>
    <w:rsid w:val="00E56BAF"/>
    <w:rsid w:val="00E6123A"/>
    <w:rsid w:val="00E613C2"/>
    <w:rsid w:val="00E63A02"/>
    <w:rsid w:val="00E731B8"/>
    <w:rsid w:val="00E94E6D"/>
    <w:rsid w:val="00E97F81"/>
    <w:rsid w:val="00EA232D"/>
    <w:rsid w:val="00EA4264"/>
    <w:rsid w:val="00EB32D9"/>
    <w:rsid w:val="00EB3B15"/>
    <w:rsid w:val="00EF2126"/>
    <w:rsid w:val="00EF7BDD"/>
    <w:rsid w:val="00F01AF8"/>
    <w:rsid w:val="00F16FE4"/>
    <w:rsid w:val="00F20A35"/>
    <w:rsid w:val="00F46C55"/>
    <w:rsid w:val="00F54091"/>
    <w:rsid w:val="00F55E00"/>
    <w:rsid w:val="00F62042"/>
    <w:rsid w:val="00F65147"/>
    <w:rsid w:val="00F65244"/>
    <w:rsid w:val="00F773CB"/>
    <w:rsid w:val="00F82E17"/>
    <w:rsid w:val="00F84E39"/>
    <w:rsid w:val="00F91D04"/>
    <w:rsid w:val="00F97888"/>
    <w:rsid w:val="00FA14A7"/>
    <w:rsid w:val="00FA2E7D"/>
    <w:rsid w:val="00FA4AAE"/>
    <w:rsid w:val="00FA4C85"/>
    <w:rsid w:val="00FB13FA"/>
    <w:rsid w:val="00FC491D"/>
    <w:rsid w:val="00FE2FEC"/>
    <w:rsid w:val="00FE50BB"/>
    <w:rsid w:val="00FF043E"/>
    <w:rsid w:val="00FF2360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chartTrackingRefBased/>
  <w15:docId w15:val="{938C22F2-02BC-40BF-A23F-FD088A6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13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21C4CC3D238D975E68D358880A03704D58035DA5285929DE5450F3318F5D9ADC59F066C845A83810525AF7675A8024B45F15925D8F3CDG1Y4H" TargetMode="External"/><Relationship Id="rId13" Type="http://schemas.openxmlformats.org/officeDocument/2006/relationships/hyperlink" Target="consultantplus://offline/ref=4840AF2449BE09034F96DB90C70406187CF52D9189ADABE2683B179611521E79896B8A4DF39B90006B9E3E74C065BC28C4E5B2F7FBA79C27EDWBH" TargetMode="External"/><Relationship Id="rId18" Type="http://schemas.openxmlformats.org/officeDocument/2006/relationships/hyperlink" Target="consultantplus://offline/ref=947D2FA82E916CBEBC6B28D03ABB3F9EE3A75F4DB9AC84FA64F8D49E253BD67C0CF2C6545E969DF9D5E2F95E962911188674030415FEC3rCn8H" TargetMode="External"/><Relationship Id="rId26" Type="http://schemas.openxmlformats.org/officeDocument/2006/relationships/hyperlink" Target="consultantplus://offline/ref=20DED410E6C580ADCC58470F0081F75D2151E38C8AB629C45DBB830B46B4389B18409B4C3D62172BE9BABC3D7E7B106DF06B3C6322q7w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8DB0F24098F628AACEF945EC3D81E32CCB81F07767127C759CD1B188B315042823678FD8C8ED350F3DD6801C30B6CEBD1674DD9EP5pA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D687592F5A3FE831693DD7858FE9CF492E8615E2951E7FF45AA138C78901F7965F7B38FB006EDF95DD07E058A0722A501A2CB899CB686DC1X1N" TargetMode="External"/><Relationship Id="rId17" Type="http://schemas.openxmlformats.org/officeDocument/2006/relationships/hyperlink" Target="consultantplus://offline/ref=53E76A3EC34CC9F770152EC840CAA989DDAE7667FDA284D1BF3C609B979C7750E4B6DEC47896D51D9B5E725A3B5F019790267D4EF44E7867n1H" TargetMode="External"/><Relationship Id="rId25" Type="http://schemas.openxmlformats.org/officeDocument/2006/relationships/hyperlink" Target="consultantplus://offline/ref=B562E24C36CC01D06F2D75AE499E040AE082103503CDA7D62A60C3E55583C5468D8E3B4CE8CE7ED64971784D5ADB4F7C0DE56567597984BE4221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93AA4B6CD6AA43198E20375464CCF6B13D63311C6D49F221AB1699E90D94C876074FC79E8288CCD1CC4A714DAD2F379B79583136A59BEDWCi6H" TargetMode="External"/><Relationship Id="rId20" Type="http://schemas.openxmlformats.org/officeDocument/2006/relationships/hyperlink" Target="consultantplus://offline/ref=048A5E85C34156199717530AC7A994A24405125A9DCD197A090A82C163E8480F22927C6ED77A958426B6C3A85A0630123F43BBEC655DD91CxBdCN" TargetMode="External"/><Relationship Id="rId29" Type="http://schemas.openxmlformats.org/officeDocument/2006/relationships/hyperlink" Target="consultantplus://offline/ref=6A266E345A03E5D905ADCB42ECCA94E0885952EA2947B3A4A0C25CBDDDE9ECFE3C03754E8C5163F38705F1EDDCBA40E00777742A6B676A67V81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B21C2A736715BFA93FF651059741176D1B974ABD9E87B039E0FA68D2F77D2822283395DBC2897EB5AC00574BDF154EC8C48FD8E49C89C5WDn4O" TargetMode="External"/><Relationship Id="rId24" Type="http://schemas.openxmlformats.org/officeDocument/2006/relationships/hyperlink" Target="consultantplus://offline/ref=FE9BE9A6FC29163E6747416D79C4174316C0D286A04458A276E6726BA396C0F43CB3147C52DDC69FBA524D3A4EE90684F7D6D96347064778k805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86259D2B506397DA5005C98FB4C4C706017F44EC2E85F1BC540B9EC5D314EFECA7F710FAFEC895209C262DDB66C9939E5F64424F3247De6hCH" TargetMode="External"/><Relationship Id="rId23" Type="http://schemas.openxmlformats.org/officeDocument/2006/relationships/hyperlink" Target="consultantplus://offline/ref=BDAA9442DFF817750E097F637EA989B9E76FA6B68C9BC6ED523B9532B3925048F117A40F5CB7E941DF46589A2A4DF92668B520BCBA94DF30h4y4L" TargetMode="External"/><Relationship Id="rId28" Type="http://schemas.openxmlformats.org/officeDocument/2006/relationships/hyperlink" Target="consultantplus://offline/ref=804D4B2988C98F1C56BCE7E8EEBC314DBD5A2195983BC89E62F59E6CE0B6102E6FF82D4FDF1B8FC48FF7683BCBE90C6916C11A4D2E50CF8959fC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4741C694AB79E3BC30D600B6E3B16853D9214A8CA11B617A58454C54D18ED9547D80D5046F58919366D1A6B9303A8E4A38C55AB4E9A5F2DGBo2O" TargetMode="External"/><Relationship Id="rId19" Type="http://schemas.openxmlformats.org/officeDocument/2006/relationships/hyperlink" Target="consultantplus://offline/ref=5C2F49567D4B360C6FEA7B9077694326D84CF1EAE000BF8E1B3A115DCF9961952246AE33E37DD351053F022C682C9D4AEC744F0E9B0CDC50qBs4H" TargetMode="External"/><Relationship Id="rId31" Type="http://schemas.openxmlformats.org/officeDocument/2006/relationships/hyperlink" Target="consultantplus://offline/ref=245F989A6302840369D2F532BB9DF124A61CC08BD241DAA378820578564B22B43CAFA9F873AD446E698E866B6BB5A1563C03C20A89DF66FDC5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82A7A00B7F6B630D0035D624E85350C7330ACB8C13EB0E82E355C2809665B73C5387CF77511C3F38082E2EFA0A232179B86BCBF61EA1BY9l6H" TargetMode="External"/><Relationship Id="rId14" Type="http://schemas.openxmlformats.org/officeDocument/2006/relationships/hyperlink" Target="consultantplus://offline/ref=2C2F5E14F9866597DD6D3976D0CBD35A93984F1364BCD7A2219DF1940ECF7A24BAE81F72489B78A3E4D662CE5932643DABEBD6BFF574C253m8W5H" TargetMode="External"/><Relationship Id="rId22" Type="http://schemas.openxmlformats.org/officeDocument/2006/relationships/hyperlink" Target="consultantplus://offline/ref=57648DD4D41658AC969DEF828391D274F01AA9FB7E09DF71AFBB119186472A42EBA5CEF6F6B66E944A58E59C6A2150C66769E6DCB82915L" TargetMode="External"/><Relationship Id="rId27" Type="http://schemas.openxmlformats.org/officeDocument/2006/relationships/hyperlink" Target="consultantplus://offline/ref=6C99719B51EC66561A88D9F9BDF13F7CBA430F9567FD123E6084B5FF650732DEDD9E3EBFB915D23B647B5F54E6B5AC81888EEEF465A3B65115eFK" TargetMode="External"/><Relationship Id="rId30" Type="http://schemas.openxmlformats.org/officeDocument/2006/relationships/hyperlink" Target="consultantplus://offline/ref=F08D2B10F8CABB4782D7CEA3BA14D89958F80545512E8823A2D7096D4BBDFCA9372C8A31BC1448FBD94C8B78548D462C0FC3AAC59EuA3C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DAA4-954F-4CED-B894-6F46D577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dcterms:created xsi:type="dcterms:W3CDTF">2022-09-13T06:42:00Z</dcterms:created>
  <dcterms:modified xsi:type="dcterms:W3CDTF">2023-01-20T03:31:00Z</dcterms:modified>
</cp:coreProperties>
</file>